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DAABB" w14:textId="11500E0F" w:rsidR="00824324" w:rsidRDefault="00170E35">
      <w:r>
        <w:t xml:space="preserve">HEROMOTOCO </w:t>
      </w:r>
      <w:r>
        <w:rPr>
          <w:noProof/>
        </w:rPr>
        <w:drawing>
          <wp:inline distT="0" distB="0" distL="0" distR="0" wp14:anchorId="3C479F19" wp14:editId="2A63AFC2">
            <wp:extent cx="5731510" cy="2947035"/>
            <wp:effectExtent l="0" t="0" r="2540" b="5715"/>
            <wp:docPr id="1374802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48024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24D96" w14:textId="6E23E1B5" w:rsidR="00170E35" w:rsidRDefault="00170E35" w:rsidP="00170E35">
      <w:pPr>
        <w:pStyle w:val="ListParagraph"/>
        <w:numPr>
          <w:ilvl w:val="0"/>
          <w:numId w:val="1"/>
        </w:numPr>
      </w:pPr>
      <w:r>
        <w:t xml:space="preserve">PRICE OPENED GAP UP </w:t>
      </w:r>
    </w:p>
    <w:p w14:paraId="43683799" w14:textId="027DFFFC" w:rsidR="00170E35" w:rsidRPr="00170E35" w:rsidRDefault="00170E35" w:rsidP="00170E35">
      <w:pPr>
        <w:pStyle w:val="ListParagraph"/>
        <w:numPr>
          <w:ilvl w:val="0"/>
          <w:numId w:val="1"/>
        </w:numPr>
      </w:pPr>
      <w:r>
        <w:t>PRICE ABOVE THE SUPERTRAND</w:t>
      </w:r>
    </w:p>
    <w:sectPr w:rsidR="00170E35" w:rsidRPr="00170E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B5FD2"/>
    <w:multiLevelType w:val="hybridMultilevel"/>
    <w:tmpl w:val="B62C6A8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5194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E35"/>
    <w:rsid w:val="00170E35"/>
    <w:rsid w:val="001B5DF9"/>
    <w:rsid w:val="0043140A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58DDE"/>
  <w15:chartTrackingRefBased/>
  <w15:docId w15:val="{E3589F6E-C448-42FE-A691-13212EA37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0E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0E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0E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0E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0E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0E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0E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0E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0E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0E35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0E35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0E35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0E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0E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0E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0E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0E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0E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0E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70E35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0E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70E35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70E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0E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0E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0E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0E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0E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0E3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2025-09-22T10:20:00Z</dcterms:created>
  <dcterms:modified xsi:type="dcterms:W3CDTF">2025-09-22T10:26:00Z</dcterms:modified>
</cp:coreProperties>
</file>